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468F" w14:textId="77777777" w:rsidR="00E77E2D" w:rsidRDefault="00E77E2D"/>
    <w:p w14:paraId="2558C056" w14:textId="38EB34CB" w:rsidR="00E77E2D" w:rsidRPr="00620484" w:rsidRDefault="00E77E2D" w:rsidP="00620484">
      <w:pPr>
        <w:pStyle w:val="Titre"/>
        <w:ind w:left="-709" w:right="-567"/>
        <w:jc w:val="center"/>
        <w:rPr>
          <w:sz w:val="40"/>
          <w:szCs w:val="40"/>
        </w:rPr>
      </w:pPr>
      <w:r w:rsidRPr="00620484">
        <w:rPr>
          <w:sz w:val="40"/>
          <w:szCs w:val="40"/>
        </w:rPr>
        <w:t>Proposition de sujet de thèse</w:t>
      </w:r>
      <w:r w:rsidR="00620484" w:rsidRPr="00620484">
        <w:rPr>
          <w:sz w:val="40"/>
          <w:szCs w:val="40"/>
        </w:rPr>
        <w:t> :</w:t>
      </w:r>
    </w:p>
    <w:p w14:paraId="32551761" w14:textId="5047BCF2" w:rsidR="00620484" w:rsidRDefault="00620484" w:rsidP="00620484">
      <w:pPr>
        <w:pStyle w:val="Titre"/>
        <w:ind w:left="-709" w:right="-567"/>
        <w:jc w:val="center"/>
        <w:rPr>
          <w:b/>
          <w:bCs/>
          <w:sz w:val="48"/>
          <w:szCs w:val="48"/>
        </w:rPr>
      </w:pPr>
      <w:r w:rsidRPr="00620484">
        <w:rPr>
          <w:b/>
          <w:bCs/>
          <w:sz w:val="48"/>
          <w:szCs w:val="48"/>
        </w:rPr>
        <w:t>Méthodes mathématiquement rigoureuses d’explicabilité et d’interprétabilité de l'Intelligence Artificielle</w:t>
      </w:r>
    </w:p>
    <w:p w14:paraId="260C6D55" w14:textId="77777777" w:rsidR="006000E5" w:rsidRPr="006000E5" w:rsidRDefault="006000E5" w:rsidP="006000E5"/>
    <w:p w14:paraId="6EA9F37A" w14:textId="4152CCE1" w:rsidR="009F5289" w:rsidRPr="006000E5" w:rsidRDefault="009F5289" w:rsidP="006000E5">
      <w:pPr>
        <w:jc w:val="right"/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</w:pP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Mathematically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</w:t>
      </w: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rigorous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</w:t>
      </w: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methods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of </w:t>
      </w: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explicability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and </w:t>
      </w: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interpretability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of </w:t>
      </w:r>
      <w:proofErr w:type="spellStart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>Artificial</w:t>
      </w:r>
      <w:proofErr w:type="spellEnd"/>
      <w:r w:rsidRPr="006000E5"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  <w:t xml:space="preserve"> Intelligence</w:t>
      </w:r>
    </w:p>
    <w:p w14:paraId="36F10AAC" w14:textId="77777777" w:rsidR="009F5289" w:rsidRDefault="009F5289" w:rsidP="009F5289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48"/>
          <w:szCs w:val="48"/>
        </w:rPr>
      </w:pPr>
    </w:p>
    <w:p w14:paraId="6FE382BD" w14:textId="43559ADA" w:rsidR="00A02DFE" w:rsidRDefault="00A02DFE" w:rsidP="00A02DFE">
      <w:r w:rsidRPr="00A02DFE">
        <w:t xml:space="preserve">Intelligence Artificielle, explicabilité de l'IA, </w:t>
      </w:r>
      <w:proofErr w:type="spellStart"/>
      <w:r w:rsidRPr="00A02DFE">
        <w:t>xAI</w:t>
      </w:r>
      <w:proofErr w:type="spellEnd"/>
      <w:r w:rsidRPr="00A02DFE">
        <w:t xml:space="preserve">, acceptabilité de l'IA, IA de confiance, </w:t>
      </w:r>
      <w:proofErr w:type="spellStart"/>
      <w:r w:rsidRPr="00A02DFE">
        <w:t>Equations</w:t>
      </w:r>
      <w:proofErr w:type="spellEnd"/>
      <w:r w:rsidRPr="00A02DFE">
        <w:t xml:space="preserve"> aux Dérivées Partielles, Analyse Numérique</w:t>
      </w:r>
    </w:p>
    <w:p w14:paraId="2404D025" w14:textId="77777777" w:rsidR="002469D4" w:rsidRDefault="002469D4" w:rsidP="00A02DFE"/>
    <w:p w14:paraId="2DF3E12C" w14:textId="28C11FCB" w:rsidR="002469D4" w:rsidRPr="006000E5" w:rsidRDefault="002469D4" w:rsidP="00A02DFE">
      <w:proofErr w:type="spellStart"/>
      <w:r w:rsidRPr="002469D4">
        <w:t>Artificial</w:t>
      </w:r>
      <w:proofErr w:type="spellEnd"/>
      <w:r w:rsidRPr="002469D4">
        <w:t xml:space="preserve"> Intelligence, AI </w:t>
      </w:r>
      <w:proofErr w:type="spellStart"/>
      <w:r w:rsidRPr="002469D4">
        <w:t>explicability</w:t>
      </w:r>
      <w:proofErr w:type="spellEnd"/>
      <w:r w:rsidRPr="002469D4">
        <w:t xml:space="preserve">, </w:t>
      </w:r>
      <w:proofErr w:type="spellStart"/>
      <w:r w:rsidRPr="002469D4">
        <w:t>xAI</w:t>
      </w:r>
      <w:proofErr w:type="spellEnd"/>
      <w:r w:rsidRPr="002469D4">
        <w:t xml:space="preserve">, AI </w:t>
      </w:r>
      <w:proofErr w:type="spellStart"/>
      <w:r w:rsidRPr="002469D4">
        <w:t>acceptability</w:t>
      </w:r>
      <w:proofErr w:type="spellEnd"/>
      <w:r w:rsidRPr="002469D4">
        <w:t xml:space="preserve">, Confidence </w:t>
      </w:r>
      <w:proofErr w:type="spellStart"/>
      <w:proofErr w:type="gramStart"/>
      <w:r w:rsidRPr="002469D4">
        <w:t>AI,Partial</w:t>
      </w:r>
      <w:proofErr w:type="spellEnd"/>
      <w:proofErr w:type="gramEnd"/>
      <w:r w:rsidRPr="002469D4">
        <w:t xml:space="preserve"> </w:t>
      </w:r>
      <w:proofErr w:type="spellStart"/>
      <w:r w:rsidRPr="002469D4">
        <w:t>Differential</w:t>
      </w:r>
      <w:proofErr w:type="spellEnd"/>
      <w:r w:rsidRPr="002469D4">
        <w:t xml:space="preserve"> </w:t>
      </w:r>
      <w:proofErr w:type="spellStart"/>
      <w:r w:rsidRPr="002469D4">
        <w:t>Equations</w:t>
      </w:r>
      <w:proofErr w:type="spellEnd"/>
      <w:r w:rsidRPr="002469D4">
        <w:t xml:space="preserve">, </w:t>
      </w:r>
      <w:proofErr w:type="spellStart"/>
      <w:r w:rsidRPr="002469D4">
        <w:t>Numerical</w:t>
      </w:r>
      <w:proofErr w:type="spellEnd"/>
      <w:r w:rsidRPr="002469D4">
        <w:t xml:space="preserve"> </w:t>
      </w:r>
      <w:proofErr w:type="spellStart"/>
      <w:r w:rsidRPr="002469D4">
        <w:t>Analysis</w:t>
      </w:r>
      <w:proofErr w:type="spellEnd"/>
    </w:p>
    <w:p w14:paraId="41C0991C" w14:textId="77777777" w:rsidR="009F5289" w:rsidRPr="00A02DFE" w:rsidRDefault="009F5289" w:rsidP="009F5289"/>
    <w:p w14:paraId="6B287464" w14:textId="77777777" w:rsidR="00620484" w:rsidRPr="00A02DFE" w:rsidRDefault="00620484" w:rsidP="00620484"/>
    <w:p w14:paraId="60A72102" w14:textId="467C66F3" w:rsidR="00E77E2D" w:rsidRDefault="00E77E2D" w:rsidP="00620484">
      <w:pPr>
        <w:jc w:val="center"/>
      </w:pPr>
      <w:r>
        <w:t>Directeur : Emmanuel Frénod</w:t>
      </w:r>
    </w:p>
    <w:p w14:paraId="2D8663BA" w14:textId="0EA707B5" w:rsidR="00E77E2D" w:rsidRDefault="00E77E2D" w:rsidP="00620484">
      <w:pPr>
        <w:jc w:val="center"/>
      </w:pPr>
      <w:r>
        <w:t>Co-d</w:t>
      </w:r>
      <w:r w:rsidR="00AB625D">
        <w:t>i</w:t>
      </w:r>
      <w:r>
        <w:t>recteur : François Septier</w:t>
      </w:r>
    </w:p>
    <w:p w14:paraId="41C6D9BE" w14:textId="77777777" w:rsidR="00E77E2D" w:rsidRDefault="00E77E2D" w:rsidP="00620484">
      <w:pPr>
        <w:jc w:val="both"/>
      </w:pPr>
    </w:p>
    <w:p w14:paraId="0FFCF254" w14:textId="498DCB84" w:rsidR="00C104D2" w:rsidRDefault="00E77E2D" w:rsidP="00620484">
      <w:pPr>
        <w:jc w:val="both"/>
      </w:pPr>
      <w:r w:rsidRPr="00E77E2D">
        <w:t>Les questions d'expli</w:t>
      </w:r>
      <w:r>
        <w:t>c</w:t>
      </w:r>
      <w:r w:rsidRPr="00E77E2D">
        <w:t>abilité et d'interprétabilité de l'</w:t>
      </w:r>
      <w:r>
        <w:t>I</w:t>
      </w:r>
      <w:r w:rsidRPr="00E77E2D">
        <w:t xml:space="preserve">ntelligence </w:t>
      </w:r>
      <w:r>
        <w:t>A</w:t>
      </w:r>
      <w:r w:rsidRPr="00E77E2D">
        <w:t>rtificielle</w:t>
      </w:r>
      <w:r>
        <w:t xml:space="preserve"> (IA)</w:t>
      </w:r>
      <w:r w:rsidRPr="00E77E2D">
        <w:t xml:space="preserve"> sont aujourd'hui très présente</w:t>
      </w:r>
      <w:r>
        <w:t>s</w:t>
      </w:r>
      <w:r w:rsidRPr="00E77E2D">
        <w:t xml:space="preserve"> dans le</w:t>
      </w:r>
      <w:r w:rsidR="00620484">
        <w:t>s</w:t>
      </w:r>
      <w:r w:rsidRPr="00E77E2D">
        <w:t xml:space="preserve"> débat</w:t>
      </w:r>
      <w:r w:rsidR="00620484">
        <w:t>s</w:t>
      </w:r>
      <w:r w:rsidRPr="00E77E2D">
        <w:t xml:space="preserve"> autour de l'émergence de cette technologie</w:t>
      </w:r>
      <w:r>
        <w:t>.</w:t>
      </w:r>
      <w:r w:rsidRPr="00E77E2D">
        <w:t xml:space="preserve"> </w:t>
      </w:r>
      <w:r>
        <w:t>E</w:t>
      </w:r>
      <w:r w:rsidRPr="00E77E2D">
        <w:t xml:space="preserve">n particulier l'irruption de </w:t>
      </w:r>
      <w:r w:rsidR="00620484">
        <w:t>« </w:t>
      </w:r>
      <w:proofErr w:type="spellStart"/>
      <w:r w:rsidR="00620484">
        <w:t>C</w:t>
      </w:r>
      <w:r w:rsidRPr="00E77E2D">
        <w:t>hatGPT</w:t>
      </w:r>
      <w:proofErr w:type="spellEnd"/>
      <w:r w:rsidR="00620484">
        <w:t> »</w:t>
      </w:r>
      <w:r w:rsidRPr="00E77E2D">
        <w:t xml:space="preserve"> amène une grande partie de la société à prendre conscience de l'urgence d'adresser ces questions</w:t>
      </w:r>
      <w:r>
        <w:t xml:space="preserve">. Ce sont en effet les deux éléments centraux pour arriver à bâtir ce que l’on appelle une </w:t>
      </w:r>
      <w:r w:rsidR="00620484">
        <w:t>« </w:t>
      </w:r>
      <w:r>
        <w:t>IA de confiance</w:t>
      </w:r>
      <w:r w:rsidR="00620484">
        <w:t> »</w:t>
      </w:r>
      <w:r>
        <w:t>.</w:t>
      </w:r>
    </w:p>
    <w:p w14:paraId="693C4FBF" w14:textId="49CC4866" w:rsidR="00E77E2D" w:rsidRDefault="00E77E2D" w:rsidP="00620484">
      <w:pPr>
        <w:jc w:val="both"/>
      </w:pPr>
    </w:p>
    <w:p w14:paraId="3D024E1E" w14:textId="7CE27374" w:rsidR="00E77E2D" w:rsidRDefault="00E77E2D" w:rsidP="00620484">
      <w:pPr>
        <w:jc w:val="both"/>
      </w:pPr>
      <w:r>
        <w:t>Parmi les concepts qui ont émergé récemment autour de ce</w:t>
      </w:r>
      <w:r w:rsidR="00620484">
        <w:t>s</w:t>
      </w:r>
      <w:r>
        <w:t xml:space="preserve"> question</w:t>
      </w:r>
      <w:r w:rsidR="00620484">
        <w:t>s</w:t>
      </w:r>
      <w:r w:rsidR="008313F8">
        <w:t>,</w:t>
      </w:r>
      <w:r>
        <w:t xml:space="preserve"> il y a l’</w:t>
      </w:r>
      <w:proofErr w:type="spellStart"/>
      <w:r>
        <w:t>xAI</w:t>
      </w:r>
      <w:proofErr w:type="spellEnd"/>
      <w:r>
        <w:t xml:space="preserve"> (pour </w:t>
      </w:r>
      <w:proofErr w:type="spellStart"/>
      <w:r>
        <w:t>explainable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Intelligence). </w:t>
      </w:r>
      <w:r w:rsidRPr="00E77E2D">
        <w:t>L'approche décrite dans</w:t>
      </w:r>
      <w:r>
        <w:t xml:space="preserve"> </w:t>
      </w:r>
      <w:r w:rsidR="008313F8">
        <w:t>l</w:t>
      </w:r>
      <w:r>
        <w:t>es références qui abordent l’</w:t>
      </w:r>
      <w:proofErr w:type="spellStart"/>
      <w:r>
        <w:t>xAI</w:t>
      </w:r>
      <w:proofErr w:type="spellEnd"/>
      <w:r>
        <w:t xml:space="preserve"> (</w:t>
      </w:r>
      <w:proofErr w:type="spellStart"/>
      <w:r>
        <w:t>c.f</w:t>
      </w:r>
      <w:proofErr w:type="spellEnd"/>
      <w:r>
        <w:t xml:space="preserve"> </w:t>
      </w:r>
      <w:hyperlink r:id="rId8" w:history="1">
        <w:r w:rsidRPr="00765735">
          <w:rPr>
            <w:rStyle w:val="Lienhypertexte"/>
          </w:rPr>
          <w:t>https://www.ibm.com/blogs/research/2019/08/ai-explainability-360/</w:t>
        </w:r>
      </w:hyperlink>
      <w:r>
        <w:t xml:space="preserve">, </w:t>
      </w:r>
      <w:hyperlink r:id="rId9" w:history="1">
        <w:r w:rsidRPr="00765735">
          <w:rPr>
            <w:rStyle w:val="Lienhypertexte"/>
          </w:rPr>
          <w:t>https://www.alteryx.com/fr/resources/whitepaper/essential-guide-to-explainable-ai</w:t>
        </w:r>
      </w:hyperlink>
      <w:r>
        <w:t xml:space="preserve">) </w:t>
      </w:r>
      <w:r w:rsidR="00BD71BF">
        <w:t>semblent très descriptive est relativement peu mathématisée.</w:t>
      </w:r>
    </w:p>
    <w:p w14:paraId="61655D5E" w14:textId="1134A85B" w:rsidR="00BD71BF" w:rsidRDefault="00BD71BF" w:rsidP="00620484">
      <w:pPr>
        <w:jc w:val="both"/>
      </w:pPr>
    </w:p>
    <w:p w14:paraId="2C2B64FB" w14:textId="77777777" w:rsidR="00BD71BF" w:rsidRDefault="00BD71BF" w:rsidP="00620484">
      <w:pPr>
        <w:jc w:val="both"/>
      </w:pPr>
    </w:p>
    <w:p w14:paraId="2713184C" w14:textId="17CDB452" w:rsidR="00BD71BF" w:rsidRDefault="00BD71BF" w:rsidP="00620484">
      <w:pPr>
        <w:jc w:val="both"/>
      </w:pPr>
      <w:r>
        <w:t>Le but de cette thèse est d’utiliser une approche mathématiquement rigoureuse pour aborder ces questions.</w:t>
      </w:r>
    </w:p>
    <w:p w14:paraId="36D97576" w14:textId="62DD85EB" w:rsidR="00BD71BF" w:rsidRDefault="00BD71BF" w:rsidP="00620484">
      <w:pPr>
        <w:jc w:val="both"/>
      </w:pPr>
      <w:r>
        <w:t>L</w:t>
      </w:r>
      <w:r w:rsidR="00620484">
        <w:t>’</w:t>
      </w:r>
      <w:r>
        <w:t>a</w:t>
      </w:r>
      <w:r w:rsidR="00620484">
        <w:t>p</w:t>
      </w:r>
      <w:r>
        <w:t>proche se base sur la très grande proximité entre un « réseau de neurones de convolution » et la discrétisation par des méthodes d’analyse numérique d’équations aux dérivées partielles (</w:t>
      </w:r>
      <w:r w:rsidR="00AB625D">
        <w:t>EDP</w:t>
      </w:r>
      <w:r>
        <w:t xml:space="preserve">) de diffusion non stationnaires et non linéaires. Il s’agit donc d’utiliser cette proximité afin de mesurer, </w:t>
      </w:r>
      <w:r w:rsidRPr="00BD71BF">
        <w:t>apost</w:t>
      </w:r>
      <w:r>
        <w:t>é</w:t>
      </w:r>
      <w:r w:rsidRPr="00BD71BF">
        <w:t>riori</w:t>
      </w:r>
      <w:r>
        <w:t>, en quoi un réseau de neurones est le résultat d’un processus cognitif</w:t>
      </w:r>
      <w:r w:rsidR="00AB625D">
        <w:t xml:space="preserve"> sous-jacent</w:t>
      </w:r>
      <w:r>
        <w:t xml:space="preserve"> modélisé par une </w:t>
      </w:r>
      <w:r w:rsidR="00AB625D">
        <w:t>EDP</w:t>
      </w:r>
      <w:r>
        <w:t xml:space="preserve">. </w:t>
      </w:r>
    </w:p>
    <w:p w14:paraId="498B7E09" w14:textId="232FECFB" w:rsidR="00BD71BF" w:rsidRDefault="00BD71BF" w:rsidP="00620484">
      <w:pPr>
        <w:jc w:val="both"/>
      </w:pPr>
      <w:r>
        <w:t xml:space="preserve">L’explicabilité et </w:t>
      </w:r>
      <w:r w:rsidRPr="00E77E2D">
        <w:t>d'interprétabilité</w:t>
      </w:r>
      <w:r>
        <w:t xml:space="preserve"> ser</w:t>
      </w:r>
      <w:r w:rsidR="005D2361">
        <w:t>ont</w:t>
      </w:r>
      <w:r>
        <w:t xml:space="preserve"> alors un</w:t>
      </w:r>
      <w:r w:rsidR="00AB625D">
        <w:t>e</w:t>
      </w:r>
      <w:r>
        <w:t xml:space="preserve"> conséquence de la description du processus cognitif</w:t>
      </w:r>
      <w:r w:rsidR="00AB625D">
        <w:t xml:space="preserve"> sous-jacent : </w:t>
      </w:r>
      <w:r w:rsidR="00AB625D" w:rsidRPr="00AB625D">
        <w:t>il y aura</w:t>
      </w:r>
      <w:r w:rsidR="00AB625D">
        <w:t xml:space="preserve"> ainsi</w:t>
      </w:r>
      <w:r w:rsidR="00AB625D" w:rsidRPr="00AB625D">
        <w:t xml:space="preserve"> un raisonnement à expliquer</w:t>
      </w:r>
      <w:r w:rsidR="00AB625D">
        <w:t>.</w:t>
      </w:r>
    </w:p>
    <w:p w14:paraId="7C856498" w14:textId="24712636" w:rsidR="00620484" w:rsidRDefault="00620484" w:rsidP="00620484">
      <w:pPr>
        <w:jc w:val="both"/>
      </w:pPr>
    </w:p>
    <w:p w14:paraId="23D3BD5C" w14:textId="00A31B59" w:rsidR="00620484" w:rsidRDefault="00620484" w:rsidP="00620484">
      <w:pPr>
        <w:jc w:val="both"/>
      </w:pPr>
      <w:r>
        <w:t>A</w:t>
      </w:r>
      <w:r w:rsidRPr="00620484">
        <w:t xml:space="preserve">u-delà de cette question </w:t>
      </w:r>
      <w:r w:rsidRPr="00E77E2D">
        <w:t>d'expli</w:t>
      </w:r>
      <w:r>
        <w:t>c</w:t>
      </w:r>
      <w:r w:rsidRPr="00E77E2D">
        <w:t>abilité et d'interprétabilité</w:t>
      </w:r>
      <w:r>
        <w:t>,</w:t>
      </w:r>
      <w:r w:rsidRPr="00E77E2D">
        <w:t xml:space="preserve"> </w:t>
      </w:r>
      <w:r w:rsidRPr="00620484">
        <w:t>le travail de cette thèse permettra aussi de mettre en œuvre des méthodes de pr</w:t>
      </w:r>
      <w:r>
        <w:t>é-</w:t>
      </w:r>
      <w:r w:rsidRPr="00620484">
        <w:t>entraînement de réseaux de neurones</w:t>
      </w:r>
      <w:r>
        <w:t xml:space="preserve"> -</w:t>
      </w:r>
      <w:r w:rsidRPr="00620484">
        <w:t xml:space="preserve"> en particulier dans le cas du </w:t>
      </w:r>
      <w:proofErr w:type="spellStart"/>
      <w:r>
        <w:t>Deep</w:t>
      </w:r>
      <w:proofErr w:type="spellEnd"/>
      <w:r w:rsidRPr="00620484">
        <w:t xml:space="preserve"> </w:t>
      </w:r>
      <w:r>
        <w:t>L</w:t>
      </w:r>
      <w:r w:rsidRPr="00620484">
        <w:t>earning</w:t>
      </w:r>
      <w:r>
        <w:t>,</w:t>
      </w:r>
      <w:r w:rsidRPr="00620484">
        <w:t xml:space="preserve"> où ces entraînements peuvent être très coûteux en temps de calcul</w:t>
      </w:r>
      <w:r>
        <w:t>.</w:t>
      </w:r>
    </w:p>
    <w:p w14:paraId="51FCA467" w14:textId="643BF4DC" w:rsidR="00AB625D" w:rsidRDefault="00AB625D"/>
    <w:p w14:paraId="6B2D75E9" w14:textId="081F6331" w:rsidR="00AB625D" w:rsidRDefault="00AB625D">
      <w:r>
        <w:t>Étapes de la thèse</w:t>
      </w:r>
    </w:p>
    <w:p w14:paraId="4BB8FFF7" w14:textId="77777777" w:rsidR="00AB625D" w:rsidRDefault="00AB625D" w:rsidP="00AB625D">
      <w:pPr>
        <w:pStyle w:val="Paragraphedeliste"/>
        <w:numPr>
          <w:ilvl w:val="0"/>
          <w:numId w:val="1"/>
        </w:numPr>
      </w:pPr>
      <w:r>
        <w:t>R</w:t>
      </w:r>
      <w:r w:rsidRPr="00AB625D">
        <w:t xml:space="preserve">evue de littérature sur </w:t>
      </w:r>
    </w:p>
    <w:p w14:paraId="372CFE28" w14:textId="544B8D97" w:rsidR="00AB625D" w:rsidRDefault="00620484" w:rsidP="00AB625D">
      <w:pPr>
        <w:pStyle w:val="Paragraphedeliste"/>
        <w:numPr>
          <w:ilvl w:val="1"/>
          <w:numId w:val="1"/>
        </w:numPr>
      </w:pPr>
      <w:r w:rsidRPr="00AB625D">
        <w:t>L’explicabilité</w:t>
      </w:r>
      <w:r w:rsidR="00AB625D" w:rsidRPr="00AB625D">
        <w:t xml:space="preserve"> et l'interprétabilité de </w:t>
      </w:r>
      <w:r w:rsidR="00AB625D">
        <w:t>l’IA ;</w:t>
      </w:r>
    </w:p>
    <w:p w14:paraId="4859FAB8" w14:textId="2DE25BAA" w:rsidR="00AB625D" w:rsidRDefault="00620484" w:rsidP="00AB625D">
      <w:pPr>
        <w:pStyle w:val="Paragraphedeliste"/>
        <w:numPr>
          <w:ilvl w:val="1"/>
          <w:numId w:val="1"/>
        </w:numPr>
      </w:pPr>
      <w:r>
        <w:t>Les</w:t>
      </w:r>
      <w:r w:rsidR="00AB625D">
        <w:t xml:space="preserve"> lien</w:t>
      </w:r>
      <w:r>
        <w:t>s</w:t>
      </w:r>
      <w:r w:rsidR="00AB625D">
        <w:t xml:space="preserve"> entre IA et EDP.</w:t>
      </w:r>
    </w:p>
    <w:p w14:paraId="653CBE6F" w14:textId="4F6FBA65" w:rsidR="00AB625D" w:rsidRDefault="00AB625D" w:rsidP="00AB625D">
      <w:pPr>
        <w:pStyle w:val="Paragraphedeliste"/>
        <w:numPr>
          <w:ilvl w:val="0"/>
          <w:numId w:val="1"/>
        </w:numPr>
      </w:pPr>
      <w:r>
        <w:t>C</w:t>
      </w:r>
      <w:r w:rsidRPr="00AB625D">
        <w:t>onstruction d'une distance sur les coefficient</w:t>
      </w:r>
      <w:r>
        <w:t>s</w:t>
      </w:r>
      <w:r w:rsidRPr="00AB625D">
        <w:t xml:space="preserve"> de réseaux de neurones entraînés</w:t>
      </w:r>
      <w:r>
        <w:t>.</w:t>
      </w:r>
    </w:p>
    <w:p w14:paraId="357BBF36" w14:textId="5D3FE317" w:rsidR="00AB625D" w:rsidRDefault="00AB625D" w:rsidP="00AB625D">
      <w:pPr>
        <w:pStyle w:val="Paragraphedeliste"/>
        <w:numPr>
          <w:ilvl w:val="0"/>
          <w:numId w:val="1"/>
        </w:numPr>
      </w:pPr>
      <w:r>
        <w:t>Interprétation des coefficients de</w:t>
      </w:r>
      <w:r w:rsidRPr="00AB625D">
        <w:t xml:space="preserve"> réseaux de neurones entraînées</w:t>
      </w:r>
      <w:r>
        <w:t xml:space="preserve"> comme des coefficients résultats d’une </w:t>
      </w:r>
      <w:r w:rsidR="00620484">
        <w:t xml:space="preserve">discrétisation d’une </w:t>
      </w:r>
      <w:r>
        <w:t xml:space="preserve">EDP de diffusion non stationnaire et non linéaire. </w:t>
      </w:r>
    </w:p>
    <w:p w14:paraId="1F094A51" w14:textId="2E7B01FF" w:rsidR="00AB625D" w:rsidRDefault="00AB625D" w:rsidP="00AB625D">
      <w:pPr>
        <w:pStyle w:val="Paragraphedeliste"/>
        <w:numPr>
          <w:ilvl w:val="0"/>
          <w:numId w:val="1"/>
        </w:numPr>
      </w:pPr>
      <w:r>
        <w:t>Identif</w:t>
      </w:r>
      <w:r w:rsidR="00620484">
        <w:t>ication</w:t>
      </w:r>
      <w:r>
        <w:t xml:space="preserve"> précis</w:t>
      </w:r>
      <w:r w:rsidR="00620484">
        <w:t>e</w:t>
      </w:r>
      <w:r>
        <w:t xml:space="preserve"> </w:t>
      </w:r>
      <w:r w:rsidR="00620484">
        <w:t>d</w:t>
      </w:r>
      <w:r>
        <w:t xml:space="preserve">es EDP </w:t>
      </w:r>
      <w:r w:rsidRPr="00AB625D">
        <w:t>en jeu</w:t>
      </w:r>
      <w:r w:rsidR="00620484">
        <w:t>.</w:t>
      </w:r>
    </w:p>
    <w:p w14:paraId="357960E4" w14:textId="4008501B" w:rsidR="00AB625D" w:rsidRDefault="00AB625D" w:rsidP="00AB625D">
      <w:pPr>
        <w:pStyle w:val="Paragraphedeliste"/>
        <w:numPr>
          <w:ilvl w:val="0"/>
          <w:numId w:val="1"/>
        </w:numPr>
      </w:pPr>
      <w:r>
        <w:t xml:space="preserve">Interprétation de ces EDP, via de la psychologie cognitive, comme </w:t>
      </w:r>
      <w:r w:rsidRPr="00AB625D">
        <w:t>des descriptions de processus cognitifs</w:t>
      </w:r>
      <w:r w:rsidR="00620484">
        <w:t>.</w:t>
      </w:r>
    </w:p>
    <w:p w14:paraId="356FC8C1" w14:textId="1CF8F626" w:rsidR="00AB625D" w:rsidRDefault="00AB625D" w:rsidP="00AB625D">
      <w:pPr>
        <w:pStyle w:val="Paragraphedeliste"/>
        <w:numPr>
          <w:ilvl w:val="0"/>
          <w:numId w:val="1"/>
        </w:numPr>
      </w:pPr>
      <w:r>
        <w:t xml:space="preserve">Étude mathématique </w:t>
      </w:r>
      <w:r w:rsidR="005D2361">
        <w:t xml:space="preserve">de </w:t>
      </w:r>
      <w:r>
        <w:t>ces EDP</w:t>
      </w:r>
      <w:r w:rsidR="00620484">
        <w:t>.</w:t>
      </w:r>
    </w:p>
    <w:p w14:paraId="5928F8FB" w14:textId="7F64F7FE" w:rsidR="00620484" w:rsidRDefault="00620484" w:rsidP="00AB625D">
      <w:pPr>
        <w:pStyle w:val="Paragraphedeliste"/>
        <w:numPr>
          <w:ilvl w:val="0"/>
          <w:numId w:val="1"/>
        </w:numPr>
      </w:pPr>
      <w:r>
        <w:t xml:space="preserve">Développement d’un outil </w:t>
      </w:r>
      <w:r w:rsidRPr="00E77E2D">
        <w:t>d'expli</w:t>
      </w:r>
      <w:r>
        <w:t>c</w:t>
      </w:r>
      <w:r w:rsidRPr="00E77E2D">
        <w:t>abilité et d'interprétabilité</w:t>
      </w:r>
      <w:r>
        <w:t xml:space="preserve"> d’un réseau de neurones.</w:t>
      </w:r>
    </w:p>
    <w:p w14:paraId="664F18F9" w14:textId="09796E87" w:rsidR="00AB625D" w:rsidRDefault="00620484" w:rsidP="00620484">
      <w:pPr>
        <w:pStyle w:val="Paragraphedeliste"/>
        <w:numPr>
          <w:ilvl w:val="0"/>
          <w:numId w:val="1"/>
        </w:numPr>
      </w:pPr>
      <w:r>
        <w:t>Développement d’outils pour pré-entraîner</w:t>
      </w:r>
      <w:r w:rsidRPr="00620484">
        <w:t xml:space="preserve"> un réseau </w:t>
      </w:r>
      <w:r>
        <w:t>de neurones.</w:t>
      </w:r>
    </w:p>
    <w:p w14:paraId="2F105982" w14:textId="77777777" w:rsidR="00AB625D" w:rsidRDefault="00AB625D"/>
    <w:sectPr w:rsidR="00AB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FCE"/>
    <w:multiLevelType w:val="hybridMultilevel"/>
    <w:tmpl w:val="09F8E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2D"/>
    <w:rsid w:val="002469D4"/>
    <w:rsid w:val="005D2361"/>
    <w:rsid w:val="006000E5"/>
    <w:rsid w:val="00620484"/>
    <w:rsid w:val="008313F8"/>
    <w:rsid w:val="009F5289"/>
    <w:rsid w:val="00A02DFE"/>
    <w:rsid w:val="00AB625D"/>
    <w:rsid w:val="00BD71BF"/>
    <w:rsid w:val="00C104D2"/>
    <w:rsid w:val="00E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6881A"/>
  <w15:chartTrackingRefBased/>
  <w15:docId w15:val="{B23A25CE-90DD-D849-874D-7FCEA1D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7E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7E2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625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204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04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blogs/research/2019/08/ai-explainability-36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lteryx.com/fr/resources/whitepaper/essential-guide-to-explainable-a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0B9E51FB66E4C9CAAC5D60642E7E6" ma:contentTypeVersion="16" ma:contentTypeDescription="Crée un document." ma:contentTypeScope="" ma:versionID="2aecfbc09bd60189ff03128fb9cfe58b">
  <xsd:schema xmlns:xsd="http://www.w3.org/2001/XMLSchema" xmlns:xs="http://www.w3.org/2001/XMLSchema" xmlns:p="http://schemas.microsoft.com/office/2006/metadata/properties" xmlns:ns2="bc5b41a5-1973-4584-ab6e-af5207d5a91a" xmlns:ns3="765e30d0-e322-4582-a63b-014560ee9356" targetNamespace="http://schemas.microsoft.com/office/2006/metadata/properties" ma:root="true" ma:fieldsID="60bc1eef0a0146b9ee6c496fd51cdd71" ns2:_="" ns3:_="">
    <xsd:import namespace="bc5b41a5-1973-4584-ab6e-af5207d5a91a"/>
    <xsd:import namespace="765e30d0-e322-4582-a63b-014560ee9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41a5-1973-4584-ab6e-af5207d5a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0419648-a558-4106-8196-af056a29e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e30d0-e322-4582-a63b-014560ee9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ff66ac-2474-41bc-b346-7d68be975cfc}" ma:internalName="TaxCatchAll" ma:showField="CatchAllData" ma:web="765e30d0-e322-4582-a63b-014560ee9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b41a5-1973-4584-ab6e-af5207d5a91a">
      <Terms xmlns="http://schemas.microsoft.com/office/infopath/2007/PartnerControls"/>
    </lcf76f155ced4ddcb4097134ff3c332f>
    <TaxCatchAll xmlns="765e30d0-e322-4582-a63b-014560ee9356" xsi:nil="true"/>
  </documentManagement>
</p:properties>
</file>

<file path=customXml/itemProps1.xml><?xml version="1.0" encoding="utf-8"?>
<ds:datastoreItem xmlns:ds="http://schemas.openxmlformats.org/officeDocument/2006/customXml" ds:itemID="{DD42D23B-D85E-495D-B173-F9461ADF5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26171-F86B-40AF-939A-C4DB41CB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b41a5-1973-4584-ab6e-af5207d5a91a"/>
    <ds:schemaRef ds:uri="765e30d0-e322-4582-a63b-014560ee9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51CF1-48A2-441D-9121-49FD43547B62}">
  <ds:schemaRefs>
    <ds:schemaRef ds:uri="http://schemas.microsoft.com/office/2006/metadata/properties"/>
    <ds:schemaRef ds:uri="http://schemas.microsoft.com/office/infopath/2007/PartnerControls"/>
    <ds:schemaRef ds:uri="bc5b41a5-1973-4584-ab6e-af5207d5a91a"/>
    <ds:schemaRef ds:uri="765e30d0-e322-4582-a63b-014560ee9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Frenod</dc:creator>
  <cp:keywords/>
  <dc:description/>
  <cp:lastModifiedBy>Emmanuel Frenod</cp:lastModifiedBy>
  <cp:revision>6</cp:revision>
  <dcterms:created xsi:type="dcterms:W3CDTF">2023-01-29T13:21:00Z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0x0101000670B9E51FB66E4C9CAAC5D60642E7E6</vt:lpwstr>
  </property>
  <property fmtid="{D5CDD505-2E9C-101B-9397-08002B2CF9AE}" pid="3" name="MediaServiceImageTags">
    <vt:lpwstr/>
  </property>
</Properties>
</file>